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4" w:rsidRPr="00BC32A4" w:rsidRDefault="00BC32A4" w:rsidP="00BC32A4">
      <w:pPr>
        <w:spacing w:before="100" w:beforeAutospacing="1" w:after="100" w:afterAutospacing="1" w:line="600" w:lineRule="atLeast"/>
        <w:jc w:val="center"/>
        <w:outlineLvl w:val="0"/>
        <w:rPr>
          <w:rFonts w:ascii="Arial" w:eastAsia="Times New Roman" w:hAnsi="Arial" w:cs="Arial"/>
          <w:kern w:val="36"/>
          <w:sz w:val="56"/>
          <w:szCs w:val="56"/>
          <w:lang w:eastAsia="de-AT"/>
        </w:rPr>
      </w:pPr>
      <w:proofErr w:type="spellStart"/>
      <w:r w:rsidRPr="00BC32A4">
        <w:rPr>
          <w:rFonts w:ascii="Arial" w:eastAsia="Times New Roman" w:hAnsi="Arial" w:cs="Arial"/>
          <w:kern w:val="36"/>
          <w:sz w:val="56"/>
          <w:szCs w:val="56"/>
          <w:lang w:eastAsia="de-AT"/>
        </w:rPr>
        <w:t>MEB'e</w:t>
      </w:r>
      <w:proofErr w:type="spellEnd"/>
      <w:r w:rsidRPr="00BC32A4">
        <w:rPr>
          <w:rFonts w:ascii="Arial" w:eastAsia="Times New Roman" w:hAnsi="Arial" w:cs="Arial"/>
          <w:kern w:val="36"/>
          <w:sz w:val="56"/>
          <w:szCs w:val="5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kern w:val="36"/>
          <w:sz w:val="56"/>
          <w:szCs w:val="56"/>
          <w:lang w:eastAsia="de-AT"/>
        </w:rPr>
        <w:t>göre</w:t>
      </w:r>
      <w:proofErr w:type="spellEnd"/>
      <w:r w:rsidRPr="00BC32A4">
        <w:rPr>
          <w:rFonts w:ascii="Arial" w:eastAsia="Times New Roman" w:hAnsi="Arial" w:cs="Arial"/>
          <w:kern w:val="36"/>
          <w:sz w:val="56"/>
          <w:szCs w:val="5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kern w:val="36"/>
          <w:sz w:val="56"/>
          <w:szCs w:val="56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kern w:val="36"/>
          <w:sz w:val="56"/>
          <w:szCs w:val="5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kern w:val="36"/>
          <w:sz w:val="56"/>
          <w:szCs w:val="56"/>
          <w:lang w:eastAsia="de-AT"/>
        </w:rPr>
        <w:t>ahlaki</w:t>
      </w:r>
      <w:proofErr w:type="spellEnd"/>
      <w:r w:rsidRPr="00BC32A4">
        <w:rPr>
          <w:rFonts w:ascii="Arial" w:eastAsia="Times New Roman" w:hAnsi="Arial" w:cs="Arial"/>
          <w:kern w:val="36"/>
          <w:sz w:val="56"/>
          <w:szCs w:val="5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kern w:val="36"/>
          <w:sz w:val="56"/>
          <w:szCs w:val="56"/>
          <w:lang w:eastAsia="de-AT"/>
        </w:rPr>
        <w:t>yozlaşma</w:t>
      </w:r>
      <w:proofErr w:type="spellEnd"/>
      <w:r w:rsidRPr="00BC32A4">
        <w:rPr>
          <w:rFonts w:ascii="Arial" w:eastAsia="Times New Roman" w:hAnsi="Arial" w:cs="Arial"/>
          <w:kern w:val="36"/>
          <w:sz w:val="56"/>
          <w:szCs w:val="5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kern w:val="36"/>
          <w:sz w:val="56"/>
          <w:szCs w:val="56"/>
          <w:lang w:eastAsia="de-AT"/>
        </w:rPr>
        <w:t>sebebiymiş</w:t>
      </w:r>
      <w:proofErr w:type="spellEnd"/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de-AT"/>
        </w:rPr>
      </w:pP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Dikkat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edilirse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bu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kavramlar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yaklaşımdan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ziyade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eleştirilmek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itibarsızlaştırılmak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için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biraraya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getirilmiştir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Burada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yerine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sekülerizmin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tercih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edilmesi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bilinçlidir</w:t>
      </w:r>
      <w:proofErr w:type="spellEnd"/>
      <w:r w:rsidRPr="00BC32A4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.</w:t>
      </w:r>
    </w:p>
    <w:p w:rsidR="00BC32A4" w:rsidRPr="00BC32A4" w:rsidRDefault="00BC32A4" w:rsidP="00BC3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color w:val="CC0000"/>
          <w:sz w:val="24"/>
          <w:szCs w:val="24"/>
          <w:lang w:eastAsia="de-AT"/>
        </w:rPr>
        <w:t>15.08.2017 08:35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MEB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Talim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Terbiye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Kurulu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Başkanlığı'nın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2016-2017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yılından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başlamak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üzere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müfredatlarda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"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"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yerine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"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"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kavramını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daha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fazla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kullanacak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yerine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kelimesini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tercih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eden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MEB’in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amacını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Eğitim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Sen’in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(EBS) 2017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Ocak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ayında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hazırladığı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“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Gecikmiş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Reform: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Müfredatın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Demokratikleştirilmesi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”</w:t>
      </w: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başlıklı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raporun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Giriş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kısmında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şöyle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yakalayabiliriz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: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“Modern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Türkiye’nin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kurulma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sürecinde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eğitim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siyasal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elitlerin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elinde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çağdaş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uygarlık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seviyesine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ulaşmanın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modern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(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)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toplum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birey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inşa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etmenin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temel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aracı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olmuştur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Cumhuriyet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elitleri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bağların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güçlü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olduğu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ümmetçi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toplumdan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Türk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ulusu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inşa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etmeyi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kendilerine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hedef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tanımlamışlardır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amacı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gerçekleştirmek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için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Cumhuriyet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elitleri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pozitivist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anlayışı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çerçevesinde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modern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eğitim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sistemi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tasarlamışlardır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Cumhuriyetin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ilk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yıllarında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kimlik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ulus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devletin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yaratımını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hedefleyen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modernleşmeci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proje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Kemalizm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tanımlanmıştır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Kemalizm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Cumhuriyetin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kuruluşundan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günümüze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eğitim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sistemini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üzerindeki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kurucu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etkisini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sürdürmektedir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ideoloji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devleti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bireye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önceleyen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farklılıklara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izin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vermeyen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tipçi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eğitim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anlayışını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dayatmaktadır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.”[1]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tipçi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ulus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devletin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temeli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,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modernleşmeci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proje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Kemalizm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değerlendirildiği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için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hedef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alınmaktadır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Ortaokul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liselerdeki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kitaplarını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incelediğimizde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sekülerizmi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aynı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kefeye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konarak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düşmanlığı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yapılmaktadır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bunlara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bol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gelmektedir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LAİKLİĞİ SEKÜLERİZM SÖZÜYLE AKILDAN ÇIKARMA UYANIKLIĞI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Sekülerizm’den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Din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Kültürü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Ahlak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Bilgisi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programı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(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müfredatı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) 11.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sınıfta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“Din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Hayat”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ünitesinde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bahsediliyor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Ünitenin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“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İnançla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İlgili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Felsefi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Yaklaşımlar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konusunda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Politeizm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Pozitivizm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Agnostisizm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Ateizm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Nihilizm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kavramları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sıralanmıştır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.[2]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Oysaki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yılın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Ocak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ayında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yayınlanan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Ortaöğretim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Temel Dini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Bilgiler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(İslam 1-2)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Taslak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Programında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sekülerizm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kastettikleri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pozitivizm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birlikte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İnanç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Problemi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”</w:t>
      </w: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gösterilmişti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Şimdi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problem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yerine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“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felsefi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yaklaşım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diyerek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aslında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yanlışlarından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dönmüyorlar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tepkiyi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önlemeye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çalışarak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daha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gizliden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sonuca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ulaşmak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istiyorlar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.[3]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LAİKLİK DEMEMEK İÇİN DÜNYEVİLEŞME’Yİ BULDULAR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kelimesinin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laikliği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çağrıştıracağı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düşünülmüş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olmalı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dünyevileşme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kavramı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müfredata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girdi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Din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Kültürü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Ahlak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Bilgisi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“İ</w:t>
      </w: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slam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Sosyal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Hayat</w:t>
      </w: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ünitesinde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ahlaki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yozlaşmanın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sebepleri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arasında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dünyevileşme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de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sayıldı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.[4]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kavramının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eş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anlamlısı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kullanılan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kavram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dememek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için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adlandırmayla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müfredata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girmiştir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:rsidR="00BC32A4" w:rsidRDefault="00BC32A4">
      <w:p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br w:type="page"/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lastRenderedPageBreak/>
        <w:t>LAİKLİK “İNANÇ PROBLEMİ”, “MESELE” SAYILIYOR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Kelam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taslak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müfredatında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verilen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İlm-i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Kelam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İnanç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Problemleri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”[5]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ünite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başlığı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müfredatta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Kelam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İlmi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Güncel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Meseleler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değiştirildi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Fakat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mesele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denilen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konular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aynı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kaldı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 Yani: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Politeizm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Agnostisizm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Pozitivizm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Ateizm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Nihilizm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Satanizm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Tenasüh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Reenkarnasyon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Kötülük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Problemi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Sahte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Peygamberlik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”[6]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LAİKLİK AHLAKİ YOZLAŞMANIN SEBEPLERİNDEN SAYILIYOR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Fakat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kendilerini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ahlaki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yozlaşmanın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sebepleri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arasında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yerine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de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kullanılan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dünyevileşme”yi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belirterek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vermişlerdir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.[7]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Dikkat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edilirse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kavramlar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yaklaşımdan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ziyade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eleştirilmek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itibarsızlaştırılmak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için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biraraya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getirilmiştir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Burada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yerine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sekülerizmin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tercih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edilmesi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bilinçlidir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Laikliğin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toplumun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aşina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olduğu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Atatürk’ü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çağrıştıran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kavram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olması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dolayısıyla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laikliği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doğrudan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eleştirerek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halkın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tepkisini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yol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açmak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istemiyorlar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10.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sınıf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tarih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müfredatında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şu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şekilde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almıştır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: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Çağ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Avrupa'sında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yaşanan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dönüşümün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altında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yatan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fikrî-manevi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(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Rönesans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-Reform,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Protestanlaşma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hümanist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rasyonalist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felsefeler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Newtoncu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Fizik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Devrimi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sekülerleşme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),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sosyo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-politik (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ülke-devlet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esasına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dayalı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prensliklerin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ortaya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çıkışı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devletlerarası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ilişkilerin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sekülerleşmesi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),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sosyo-ekonomik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(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merkantalizm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kırdan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kente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göç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aristokrasiye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karşı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tüccar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burjuva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sınıfının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güçlenmesi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),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askeri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teknolojik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sebepler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(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ateşli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silahlar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gemi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türleri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)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ana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hatlarıyla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açıklanır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.”[8]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LAİKLİK “ATEİZM”, LAİKLER “ATEİST”, OLARAK GÖSTERİLİYOR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Müfredatı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yazanlar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açısından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arasında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fark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yoktur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sekülerizmin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uygulamada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farklı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olsa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da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ikisinin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de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büyük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ölçüde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devre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dışı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bırakmak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”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hususunda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buluştukları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vurgulanarak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laikliğin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karşıtı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olduğu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söylenmektedir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 Anadolu İmam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Hatip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Liseleri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12.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sınıf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Akaid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Kelam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kitabında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inkârcı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akımlar”ın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 “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hümanizm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sekülarizm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temelleri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üzerinde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yükselmekte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”[</w:t>
      </w:r>
      <w:r w:rsidRPr="00BC32A4">
        <w:rPr>
          <w:rFonts w:ascii="Arial" w:eastAsia="Times New Roman" w:hAnsi="Arial" w:cs="Arial"/>
          <w:sz w:val="24"/>
          <w:szCs w:val="24"/>
          <w:lang w:eastAsia="de-AT"/>
        </w:rPr>
        <w:t>9]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olduğu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belirtilmektedir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Dahası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eş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tuttukları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sekülerizmin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dinsizlik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olduğunu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ima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etmişlerdir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: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Sekülarizm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her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kadar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ilk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bakışta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karşıtlığı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görülmeyebilirse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de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yönelimleri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itibariyle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önemsememe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hayatı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yaşarken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referans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gönderme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yapmama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anlayışı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sebebiyle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dinden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uzaklaşma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sonucu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doğurmaktadır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.”[10]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insanlar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ateist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sayılarak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hedef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gösterilmekte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siyasette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hukukta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ekonomide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vb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yönetim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işlerinin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dince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yönlendirilmemesi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dayalı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düzene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açıkça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karşı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çıkılmaktadır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: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olduğunu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söyleyen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insanlar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her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kadar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ateist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olmadıklarını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yaratıcıya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inandıklarını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belirtseler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de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âdeta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Tanrı’yı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göklerde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kabul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edip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yeryüzüne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indirmemek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Tanrı’ya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bizim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işlerimize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karışma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demekle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aynı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kapıya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çıkmaktadır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yönüyle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de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uygulama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vicdanlara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hapsetmenin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salt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inanca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indirgemenin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siyasette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hukukta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sanatta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ekonomide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vermemenin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başka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şeklidir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Laiklikte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de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sekülarizmde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de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siyasî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toplumsal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hayat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düzenlenirken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Allah’ı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vahyi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kutsalı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dikkate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almamak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esastır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.”[11]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LAİKLİK</w:t>
      </w:r>
      <w:r w:rsidRPr="00BC32A4">
        <w:rPr>
          <w:rFonts w:ascii="Arial" w:eastAsia="Times New Roman" w:hAnsi="Arial" w:cs="Arial"/>
          <w:sz w:val="24"/>
          <w:szCs w:val="24"/>
          <w:lang w:eastAsia="de-AT"/>
        </w:rPr>
        <w:t> </w:t>
      </w: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DİN VE DÜNYA İŞLERİNİN AYRILIĞIDIR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MEB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laikliği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doğru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şekilde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,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egemenliğin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kaynağının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ilâhîliğini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yitirmesini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politik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iktidarın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meşruiyetinin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ilâhî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değil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de,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dünyevî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temele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dayanması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”[12]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tanımlamaktadır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Ama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lastRenderedPageBreak/>
        <w:t>yukarıda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gösterdiğimiz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gibi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aslında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tanım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egemenliğin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millete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dayandığı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Cumhuriyet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düzenine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itiraz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etmek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için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verilmektedir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dünya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işlerinin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ayrı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olmasıdır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önemli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zira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kimi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savunucuları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laikliği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“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devlet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işleri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ayrılığı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sınırlıyorlar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 Atatürk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döneminde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“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din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dünya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işlerinin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ayrılığı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”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tanımlanıyordu</w:t>
      </w:r>
      <w:proofErr w:type="spellEnd"/>
      <w:proofErr w:type="gram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.[</w:t>
      </w:r>
      <w:proofErr w:type="gram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13]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PEKİ SEKÜLERİZM NEDİR?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Üzerinde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tanım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birliğine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varılmasa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da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laiklik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halkın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derslerde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öğrendiği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konuşmasında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geçirdiği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kavramdır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sekülerlik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kavramları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ise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son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yıllarda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özellikle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de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aydınlarımız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arasında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kullanılmaktadır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Peki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nedir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?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Sekülerizm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"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toplumun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temelinde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şekillenmesi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yönünde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devlet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müdahalesinin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denetiminin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kaldırılması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"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olarak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bilinmektedir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Böyle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durumda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toplumun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kendi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içinde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dengesini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bulacağı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savunuluyor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Uygulamada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ise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adına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konuşan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tarikat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liderlerinin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ifadeleri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toplumu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daha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hoşgörülü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noktaya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götürmüyor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         </w:t>
      </w:r>
      <w:bookmarkStart w:id="0" w:name="_GoBack"/>
      <w:bookmarkEnd w:id="0"/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Mustafa Solak -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Tarihçi-yazar</w:t>
      </w:r>
      <w:proofErr w:type="spellEnd"/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Odatv.com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[1]http://www.egitimbirsen.org.tr/ebs/manset/3969/ideolojik-kaygilarin-uzaginda-pedagojik-ilkeler-isiginda-yeni-bir-mufredat, s.13.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[2] Din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Kültürü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Ahlak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Bilgisi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Taslak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Programı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(4-8; 9-12), s.73.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[3]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Ortaöğretim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Temel Dini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Bilgiler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(İslam 1-2)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Taslak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Programı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, s.13.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[4]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Ortaöğretim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Temel Dini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Bilgiler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(İslam 1-2)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Programı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, s.20.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[5] Anadolu İmam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Hatip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Meslek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Lisesi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Taslak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Programları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, s.104.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[6] MEB Anadolu İmam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Hatip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Meslek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Lisesi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Programları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, s.74.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[7]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Ortaöğretim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Temel Dini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Bilgiler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(İslam 1-2)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Dersi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Programı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,</w:t>
      </w: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 </w:t>
      </w:r>
      <w:r w:rsidRPr="00BC32A4">
        <w:rPr>
          <w:rFonts w:ascii="Arial" w:eastAsia="Times New Roman" w:hAnsi="Arial" w:cs="Arial"/>
          <w:sz w:val="24"/>
          <w:szCs w:val="24"/>
          <w:lang w:eastAsia="de-AT"/>
        </w:rPr>
        <w:t>s.20.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[8]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Ortaöğrenim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9-11.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Sınıf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Tarih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Öğretim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Programı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, s.43.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[9] U. Murat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Kılavuz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Nihat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Morgül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Veli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Karataş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Eba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Müslim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Yaşaroğlu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Ed. Ahmet Saim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Kılavuz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, Anadolu İmam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Hatip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Liseleri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Akaid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ve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Kelam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12</w:t>
      </w:r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T.C. MEB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Yayınları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, Ankara, 2015, s.99.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[10] </w:t>
      </w: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Age</w:t>
      </w:r>
      <w:r w:rsidRPr="00BC32A4">
        <w:rPr>
          <w:rFonts w:ascii="Arial" w:eastAsia="Times New Roman" w:hAnsi="Arial" w:cs="Arial"/>
          <w:sz w:val="24"/>
          <w:szCs w:val="24"/>
          <w:lang w:eastAsia="de-AT"/>
        </w:rPr>
        <w:t>, s.72.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[11] 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Aynı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yer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[12] </w:t>
      </w:r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Age</w:t>
      </w:r>
      <w:r w:rsidRPr="00BC32A4">
        <w:rPr>
          <w:rFonts w:ascii="Arial" w:eastAsia="Times New Roman" w:hAnsi="Arial" w:cs="Arial"/>
          <w:sz w:val="24"/>
          <w:szCs w:val="24"/>
          <w:lang w:eastAsia="de-AT"/>
        </w:rPr>
        <w:t>, s.73.</w:t>
      </w:r>
    </w:p>
    <w:p w:rsidR="00BC32A4" w:rsidRPr="00BC32A4" w:rsidRDefault="00BC32A4" w:rsidP="00BC32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BC32A4">
        <w:rPr>
          <w:rFonts w:ascii="Arial" w:eastAsia="Times New Roman" w:hAnsi="Arial" w:cs="Arial"/>
          <w:sz w:val="24"/>
          <w:szCs w:val="24"/>
          <w:lang w:eastAsia="de-AT"/>
        </w:rPr>
        <w:t>[13] Mustafa Solak, 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Laikliği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Doğru</w:t>
      </w:r>
      <w:proofErr w:type="spellEnd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 </w:t>
      </w:r>
      <w:proofErr w:type="spellStart"/>
      <w:r w:rsidRPr="00BC32A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Anlamak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 xml:space="preserve">, Kaynak </w:t>
      </w:r>
      <w:proofErr w:type="spellStart"/>
      <w:r w:rsidRPr="00BC32A4">
        <w:rPr>
          <w:rFonts w:ascii="Arial" w:eastAsia="Times New Roman" w:hAnsi="Arial" w:cs="Arial"/>
          <w:sz w:val="24"/>
          <w:szCs w:val="24"/>
          <w:lang w:eastAsia="de-AT"/>
        </w:rPr>
        <w:t>Yayınları</w:t>
      </w:r>
      <w:proofErr w:type="spellEnd"/>
      <w:r w:rsidRPr="00BC32A4">
        <w:rPr>
          <w:rFonts w:ascii="Arial" w:eastAsia="Times New Roman" w:hAnsi="Arial" w:cs="Arial"/>
          <w:sz w:val="24"/>
          <w:szCs w:val="24"/>
          <w:lang w:eastAsia="de-AT"/>
        </w:rPr>
        <w:t>, İstanbul, 2017, s.65.</w:t>
      </w:r>
    </w:p>
    <w:p w:rsidR="00453DAD" w:rsidRPr="00BC32A4" w:rsidRDefault="00BC32A4" w:rsidP="00BC32A4">
      <w:pPr>
        <w:jc w:val="both"/>
        <w:rPr>
          <w:rFonts w:ascii="Arial" w:hAnsi="Arial" w:cs="Arial"/>
        </w:rPr>
      </w:pPr>
    </w:p>
    <w:sectPr w:rsidR="00453DAD" w:rsidRPr="00BC32A4" w:rsidSect="00BC32A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A4" w:rsidRDefault="00BC32A4" w:rsidP="00BC32A4">
      <w:pPr>
        <w:spacing w:after="0" w:line="240" w:lineRule="auto"/>
      </w:pPr>
      <w:r>
        <w:separator/>
      </w:r>
    </w:p>
  </w:endnote>
  <w:endnote w:type="continuationSeparator" w:id="0">
    <w:p w:rsidR="00BC32A4" w:rsidRDefault="00BC32A4" w:rsidP="00BC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A4" w:rsidRDefault="00BC32A4" w:rsidP="00BC32A4">
    <w:pPr>
      <w:pStyle w:val="Fuzeile"/>
      <w:jc w:val="right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BC32A4">
      <w:rPr>
        <w:b/>
        <w:bCs/>
        <w:noProof/>
        <w:lang w:val="de-DE"/>
      </w:rPr>
      <w:t>2</w:t>
    </w:r>
    <w:r>
      <w:rPr>
        <w:b/>
        <w:bCs/>
      </w:rPr>
      <w:fldChar w:fldCharType="end"/>
    </w:r>
    <w:r>
      <w:rPr>
        <w:lang w:val="de-DE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BC32A4">
      <w:rPr>
        <w:b/>
        <w:bCs/>
        <w:noProof/>
        <w:lang w:val="de-DE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A4" w:rsidRDefault="00BC32A4" w:rsidP="00BC32A4">
      <w:pPr>
        <w:spacing w:after="0" w:line="240" w:lineRule="auto"/>
      </w:pPr>
      <w:r>
        <w:separator/>
      </w:r>
    </w:p>
  </w:footnote>
  <w:footnote w:type="continuationSeparator" w:id="0">
    <w:p w:rsidR="00BC32A4" w:rsidRDefault="00BC32A4" w:rsidP="00BC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A4"/>
    <w:rsid w:val="000C12CF"/>
    <w:rsid w:val="00BC32A4"/>
    <w:rsid w:val="00D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FCAFF-1938-4552-B899-F6AAFEF1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C3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BC3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32A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32A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BC32A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BC32A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C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2A4"/>
  </w:style>
  <w:style w:type="paragraph" w:styleId="Fuzeile">
    <w:name w:val="footer"/>
    <w:basedOn w:val="Standard"/>
    <w:link w:val="FuzeileZchn"/>
    <w:uiPriority w:val="99"/>
    <w:unhideWhenUsed/>
    <w:rsid w:val="00BC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7794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  <w:div w:id="3630972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1</cp:revision>
  <dcterms:created xsi:type="dcterms:W3CDTF">2017-08-15T06:16:00Z</dcterms:created>
  <dcterms:modified xsi:type="dcterms:W3CDTF">2017-08-15T06:20:00Z</dcterms:modified>
</cp:coreProperties>
</file>